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809"/>
      </w:tblGrid>
      <w:tr w:rsidR="006403A6" w:rsidRPr="0030727F" w:rsidTr="006403A6">
        <w:tc>
          <w:tcPr>
            <w:tcW w:w="8046" w:type="dxa"/>
            <w:tcBorders>
              <w:right w:val="single" w:sz="4" w:space="0" w:color="auto"/>
            </w:tcBorders>
          </w:tcPr>
          <w:p w:rsidR="006403A6" w:rsidRPr="0030727F" w:rsidRDefault="006403A6" w:rsidP="0030727F">
            <w:pPr>
              <w:rPr>
                <w:rFonts w:ascii="Simplified Arabic" w:hAnsi="Simplified Arabic" w:cs="Simplified Arabic"/>
                <w:b/>
                <w:bCs/>
                <w:rtl/>
              </w:rPr>
            </w:pPr>
            <w:bookmarkStart w:id="0" w:name="_GoBack"/>
            <w:bookmarkEnd w:id="0"/>
            <w:r w:rsidRPr="0030727F">
              <w:rPr>
                <w:rFonts w:ascii="Simplified Arabic" w:hAnsi="Simplified Arabic" w:cs="Simplified Arabic"/>
                <w:b/>
                <w:bCs/>
                <w:rtl/>
              </w:rPr>
              <w:t xml:space="preserve">إنه </w:t>
            </w:r>
            <w:r w:rsidR="00DC15F7" w:rsidRPr="0030727F">
              <w:rPr>
                <w:rFonts w:ascii="Simplified Arabic" w:hAnsi="Simplified Arabic" w:cs="Simplified Arabic"/>
                <w:b/>
                <w:bCs/>
                <w:rtl/>
              </w:rPr>
              <w:t>في</w:t>
            </w:r>
            <w:r w:rsidRPr="0030727F">
              <w:rPr>
                <w:rFonts w:ascii="Simplified Arabic" w:hAnsi="Simplified Arabic" w:cs="Simplified Arabic"/>
                <w:b/>
                <w:bCs/>
                <w:rtl/>
              </w:rPr>
              <w:t xml:space="preserve"> يوم ............. الموافق</w:t>
            </w:r>
            <w:r w:rsidR="005C2EDA" w:rsidRPr="0030727F">
              <w:rPr>
                <w:rFonts w:ascii="Simplified Arabic" w:hAnsi="Simplified Arabic" w:cs="Simplified Arabic"/>
                <w:b/>
                <w:bCs/>
                <w:rtl/>
              </w:rPr>
              <w:t xml:space="preserve"> </w:t>
            </w:r>
            <w:r w:rsidR="00EA0C14" w:rsidRPr="0030727F">
              <w:rPr>
                <w:rFonts w:ascii="Simplified Arabic" w:hAnsi="Simplified Arabic" w:cs="Simplified Arabic"/>
                <w:b/>
                <w:bCs/>
                <w:rtl/>
              </w:rPr>
              <w:t xml:space="preserve"> بناءاً على طلب  </w:t>
            </w:r>
            <w:r w:rsidR="005C2EDA" w:rsidRPr="0030727F">
              <w:rPr>
                <w:rFonts w:ascii="Simplified Arabic" w:hAnsi="Simplified Arabic" w:cs="Simplified Arabic"/>
                <w:b/>
                <w:bCs/>
                <w:color w:val="0070C0"/>
                <w:rtl/>
              </w:rPr>
              <w:t>\</w:t>
            </w:r>
            <w:r w:rsidR="0042179C" w:rsidRPr="0030727F">
              <w:rPr>
                <w:rFonts w:ascii="Simplified Arabic" w:hAnsi="Simplified Arabic" w:cs="Simplified Arabic"/>
                <w:b/>
                <w:bCs/>
                <w:color w:val="0070C0"/>
                <w:rtl/>
              </w:rPr>
              <w:t>السيد</w:t>
            </w:r>
            <w:r w:rsidR="005C2EDA" w:rsidRPr="0030727F">
              <w:rPr>
                <w:rFonts w:ascii="Simplified Arabic" w:hAnsi="Simplified Arabic" w:cs="Simplified Arabic"/>
                <w:b/>
                <w:bCs/>
                <w:color w:val="0070C0"/>
                <w:rtl/>
              </w:rPr>
              <w:t>\</w:t>
            </w:r>
          </w:p>
          <w:p w:rsidR="006403A6"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قد انتقلت </w:t>
            </w:r>
            <w:r w:rsidR="00DC15F7" w:rsidRPr="0030727F">
              <w:rPr>
                <w:rFonts w:ascii="Simplified Arabic" w:hAnsi="Simplified Arabic" w:cs="Simplified Arabic"/>
                <w:b/>
                <w:bCs/>
                <w:rtl/>
              </w:rPr>
              <w:t>في</w:t>
            </w:r>
            <w:r w:rsidRPr="0030727F">
              <w:rPr>
                <w:rFonts w:ascii="Simplified Arabic" w:hAnsi="Simplified Arabic" w:cs="Simplified Arabic"/>
                <w:b/>
                <w:bCs/>
                <w:rtl/>
              </w:rPr>
              <w:t xml:space="preserve"> تاريخه </w:t>
            </w:r>
            <w:r w:rsidR="00DC15F7" w:rsidRPr="0030727F">
              <w:rPr>
                <w:rFonts w:ascii="Simplified Arabic" w:hAnsi="Simplified Arabic" w:cs="Simplified Arabic"/>
                <w:b/>
                <w:bCs/>
                <w:rtl/>
              </w:rPr>
              <w:t>أ</w:t>
            </w:r>
            <w:r w:rsidRPr="0030727F">
              <w:rPr>
                <w:rFonts w:ascii="Simplified Arabic" w:hAnsi="Simplified Arabic" w:cs="Simplified Arabic"/>
                <w:b/>
                <w:bCs/>
                <w:rtl/>
              </w:rPr>
              <w:t xml:space="preserve">علاه </w:t>
            </w:r>
            <w:r w:rsidR="00DC15F7" w:rsidRPr="0030727F">
              <w:rPr>
                <w:rFonts w:ascii="Simplified Arabic" w:hAnsi="Simplified Arabic" w:cs="Simplified Arabic"/>
                <w:b/>
                <w:bCs/>
                <w:rtl/>
              </w:rPr>
              <w:t>إ</w:t>
            </w:r>
            <w:r w:rsidRPr="0030727F">
              <w:rPr>
                <w:rFonts w:ascii="Simplified Arabic" w:hAnsi="Simplified Arabic" w:cs="Simplified Arabic"/>
                <w:b/>
                <w:bCs/>
                <w:rtl/>
              </w:rPr>
              <w:t>لى</w:t>
            </w:r>
            <w:r w:rsidR="00DC15F7" w:rsidRPr="0030727F">
              <w:rPr>
                <w:rFonts w:ascii="Simplified Arabic" w:hAnsi="Simplified Arabic" w:cs="Simplified Arabic"/>
                <w:b/>
                <w:bCs/>
                <w:rtl/>
              </w:rPr>
              <w:t>:</w:t>
            </w:r>
          </w:p>
          <w:p w:rsidR="004A76AF" w:rsidRPr="0030727F" w:rsidRDefault="004A76AF" w:rsidP="0030727F">
            <w:pPr>
              <w:rPr>
                <w:rFonts w:ascii="Simplified Arabic" w:hAnsi="Simplified Arabic" w:cs="Simplified Arabic"/>
                <w:b/>
                <w:bCs/>
                <w:color w:val="0070C0"/>
                <w:rtl/>
              </w:rPr>
            </w:pPr>
            <w:r w:rsidRPr="0030727F">
              <w:rPr>
                <w:rFonts w:ascii="Simplified Arabic" w:hAnsi="Simplified Arabic" w:cs="Simplified Arabic"/>
                <w:b/>
                <w:bCs/>
                <w:color w:val="0070C0"/>
                <w:rtl/>
              </w:rPr>
              <w:t>\</w:t>
            </w:r>
            <w:r w:rsidR="0083104E" w:rsidRPr="0030727F">
              <w:rPr>
                <w:rFonts w:ascii="Simplified Arabic" w:hAnsi="Simplified Arabic" w:cs="Simplified Arabic"/>
                <w:b/>
                <w:bCs/>
                <w:color w:val="0070C0"/>
                <w:rtl/>
              </w:rPr>
              <w:t>السيد</w:t>
            </w:r>
            <w:r w:rsidRPr="0030727F">
              <w:rPr>
                <w:rFonts w:ascii="Simplified Arabic" w:hAnsi="Simplified Arabic" w:cs="Simplified Arabic"/>
                <w:b/>
                <w:bCs/>
                <w:color w:val="0070C0"/>
                <w:rtl/>
              </w:rPr>
              <w:t>\</w:t>
            </w:r>
          </w:p>
          <w:p w:rsidR="006403A6" w:rsidRPr="0030727F" w:rsidRDefault="006403A6" w:rsidP="0030727F">
            <w:pPr>
              <w:rPr>
                <w:rFonts w:ascii="Simplified Arabic" w:hAnsi="Simplified Arabic" w:cs="Simplified Arabic"/>
                <w:b/>
                <w:bCs/>
                <w:u w:val="single"/>
                <w:rtl/>
              </w:rPr>
            </w:pPr>
            <w:r w:rsidRPr="0030727F">
              <w:rPr>
                <w:rFonts w:ascii="Simplified Arabic" w:hAnsi="Simplified Arabic" w:cs="Simplified Arabic"/>
                <w:b/>
                <w:bCs/>
                <w:u w:val="single"/>
                <w:rtl/>
              </w:rPr>
              <w:t xml:space="preserve">وأعلنته </w:t>
            </w:r>
            <w:r w:rsidR="00DC15F7" w:rsidRPr="0030727F">
              <w:rPr>
                <w:rFonts w:ascii="Simplified Arabic" w:hAnsi="Simplified Arabic" w:cs="Simplified Arabic"/>
                <w:b/>
                <w:bCs/>
                <w:u w:val="single"/>
                <w:rtl/>
              </w:rPr>
              <w:t>بالآتي</w:t>
            </w:r>
          </w:p>
          <w:p w:rsidR="00F34C23" w:rsidRPr="0030727F" w:rsidRDefault="00F34C23" w:rsidP="00C8502E">
            <w:pPr>
              <w:ind w:firstLine="0"/>
              <w:rPr>
                <w:rFonts w:ascii="Simplified Arabic" w:hAnsi="Simplified Arabic" w:cs="Simplified Arabic"/>
                <w:b/>
                <w:bCs/>
                <w:color w:val="FF0000"/>
                <w:rtl/>
              </w:rPr>
            </w:pPr>
            <w:r w:rsidRPr="0030727F">
              <w:rPr>
                <w:rFonts w:ascii="Simplified Arabic" w:hAnsi="Simplified Arabic" w:cs="Simplified Arabic"/>
                <w:b/>
                <w:bCs/>
                <w:color w:val="FF0000"/>
                <w:rtl/>
              </w:rPr>
              <w:t xml:space="preserve">وحيث أن الوقائع على نحو ما سيرد بهذه الصحيفة من حقائق تدعمها </w:t>
            </w:r>
            <w:r w:rsidR="00C8502E" w:rsidRPr="0030727F">
              <w:rPr>
                <w:rFonts w:ascii="Simplified Arabic" w:hAnsi="Simplified Arabic" w:cs="Simplified Arabic"/>
                <w:b/>
                <w:bCs/>
                <w:color w:val="FF0000"/>
                <w:rtl/>
              </w:rPr>
              <w:t>المستندات،</w:t>
            </w:r>
            <w:r w:rsidRPr="0030727F">
              <w:rPr>
                <w:rFonts w:ascii="Simplified Arabic" w:hAnsi="Simplified Arabic" w:cs="Simplified Arabic"/>
                <w:b/>
                <w:bCs/>
                <w:color w:val="FF0000"/>
                <w:rtl/>
              </w:rPr>
              <w:t xml:space="preserve"> تتحصل في أن:</w:t>
            </w:r>
          </w:p>
          <w:p w:rsidR="001C45EF" w:rsidRPr="0030727F" w:rsidRDefault="001C45EF" w:rsidP="0030727F">
            <w:pPr>
              <w:rPr>
                <w:rFonts w:ascii="Simplified Arabic" w:hAnsi="Simplified Arabic" w:cs="Simplified Arabic"/>
                <w:b/>
                <w:bCs/>
                <w:rtl/>
              </w:rPr>
            </w:pPr>
          </w:p>
          <w:p w:rsidR="00525626" w:rsidRPr="0030727F" w:rsidRDefault="00F34C23" w:rsidP="0030727F">
            <w:pPr>
              <w:rPr>
                <w:rFonts w:ascii="Simplified Arabic" w:hAnsi="Simplified Arabic" w:cs="Simplified Arabic"/>
                <w:b/>
                <w:bCs/>
                <w:color w:val="FF0000"/>
                <w:rtl/>
              </w:rPr>
            </w:pPr>
            <w:r w:rsidRPr="0030727F">
              <w:rPr>
                <w:rFonts w:ascii="Simplified Arabic" w:hAnsi="Simplified Arabic" w:cs="Simplified Arabic"/>
                <w:b/>
                <w:bCs/>
                <w:color w:val="FF0000"/>
                <w:rtl/>
              </w:rPr>
              <w:t>وحيث أن تأصيل هذه الوقائع قانوناً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وحيث أن مادة  157  من قانون رقم 131 لسنة 1948  - بشأن إصدار القانون المدني تنص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1- في العقود الملزمة للجانبين، إذا لم يوفّ أحد المتعاقدين بالتزامه جاز للمتعاقد الآخر بعد إعذاره المدين أن يطالب بتنفيذ العقد أو بفسخه، مع التعويض في الحالتين إن كان له مقتض.</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2- ويجوز للقاضي أن يمنح المدين أجلاً إذا اقتضت الظروف ذلك، كما يجوز له أن يرفض الفسخ إذا كان ما لم يوف به المدين قليل الأهمية بالنسبة إلى الالتزام في جملته.</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وتطبيقاً لذلك قررت محكمة النقض أن : أن ما جرى عليه نص المادة 157/ 2 من القانون المدني - بشأن فسخ العقود عامة - من أنه "... ويجوز للقاضي أن يمنح المدين أجلاً إذا اقتضت الظروف ذلك، كما يجوز له أن يرفض الفسخ إذا كان ما لم يوف به المدين قليل الأهمية بالنسبة إلى الالتزام في جملته، وهو ما لازمه أن كل حادث استثنائي لم يكن في وسع المستأجر دفعه أو توقعه ترتب على حدوثه أن أصبح وفاء المستأجر بالأجرة في ميعاد استحقاقها مرهقاً حتى ولو لم يصبح الوفاء في الميعاد مستحيلاً فإن هذا الحادث يصلح مبرراً للتأخير باعتبار هذا النص من تطبيقات نظرية الظروف الطارئة المنصوص عليها في المادة 147/ 2 من القانون المدني وحاصلها أن الحادث الطارئ غير المتوقع من شأنه أن ينقص الالتزامات إلى الحد المعقول دون اشتراط أن يصبح تنفيذ الالتزام مستحيلاً، وتقدير العذر الذي يصلح مبرراً لتكرار التأخير في الوفاء بالأجرة وإن كان من مسائل الواقع التي يستقل بها قاضي الموضوع إلا أن ذلك مشروط بأن يتضمن الحكم أسباباً سائغة لقيام هذا المبرر أو انتفائه.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18891 - لسنة 83 ق - تاريخ الجلسة 27 / 3 / 2016 ]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وأستقر قضاء محكمة النقض على أن : أن النص في المادة 1/157 من القانون </w:t>
            </w:r>
            <w:r w:rsidRPr="0030727F">
              <w:rPr>
                <w:rFonts w:ascii="Simplified Arabic" w:hAnsi="Simplified Arabic" w:cs="Simplified Arabic"/>
                <w:b/>
                <w:bCs/>
                <w:rtl/>
                <w:lang w:val="x-none"/>
              </w:rPr>
              <w:lastRenderedPageBreak/>
              <w:t>المدني على أنه "في العقود الملزمة للجانبين إذا لم يوف أحد المتعاقدين بالتزامه جاز للمتعاقد الآخر بعد إعذاره المدين أن يطالب بتنفيذ العقد أو بفسخه مع التعويض في الحالتين إن كان له مقتض" يدل – وعلى ما جرى به قضاء هذه المحكمة – على أن الفسخ إذا كان مرده خطأ أحد المتعاقدين فإن هذا الطرف لا يلزم برد ما حصل عليه فقط وإنما يلزم فوق ذلك بتعويض الطرف الآخر عما لحقه من ضرر نتيجة لذلك الفسخ ويبنى التعويض – في هذه الحالة – على أساس المسئولية التقصيرية وليس على أحكام المسئولية العقدية ذلك أن العقد بعد أن يفسخ لا يصلح أساسا لطلب التعويض وإنما يكون أساسه خطأ المدين أو تقصيره وفق القواعد العامة في المسئولية التقصيرية، كما أن من المقرر أيضا أن تطبيق القانون على وجهه الصحيح لا يحتاج إلى طلب من الخصوم، بل هو واجب القاضي الذي عليه – ومن تلقاء نفسه – أن يبحث عن الحكم القانوني المنطبق على الواقعة المطرحة عليه، وأن ينزل هذا الحكم عليها أيا كان النص القانون الذي استندوا إليه في تأييد طلباتهم أو دفاعهم أو دفوعهم فيها.</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665 - لسنة 79 ق - تاريخ الجلسة 4 / 1 / 2017 ]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بالنسبة للعقود الملزمة للجانبين، إذا لم يوف أحد المتعاقدين بالتزام من التزاماته المقررة في العقد جاز للمتعاقد الآخر بعد إعذار المدين أن يطالب بتنفيذ العقد أو فسخه، مع التعويض إن كان له مقتض، إلا أنه يجب ألا يكون هذا المتعاقد مقصرا في التزامه.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شرح القانون المدني الجديد - العقود المسماة - الجزء السادس - عقد البيع وعقد المقايضة - الدكتور/محمد كامل مرسى - 1953 - ص 389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العقد الملزم للجانبين إذا لم يقم أحد المتعاقدين بتنفيذ التزامه، كان للمتعاقد الآخر أن يطلب فسخ العقد، فيتحلل هو الأخر من التزاماته المقابلة.</w:t>
            </w:r>
          </w:p>
          <w:p w:rsidR="001F1C19" w:rsidRPr="0030727F" w:rsidRDefault="001F1C19" w:rsidP="0030727F">
            <w:pPr>
              <w:rPr>
                <w:rFonts w:ascii="Simplified Arabic" w:hAnsi="Simplified Arabic" w:cs="Simplified Arabic"/>
                <w:b/>
                <w:bCs/>
                <w:color w:val="FF0000"/>
                <w:rtl/>
              </w:rPr>
            </w:pPr>
            <w:r w:rsidRPr="0030727F">
              <w:rPr>
                <w:rFonts w:ascii="Simplified Arabic" w:hAnsi="Simplified Arabic" w:cs="Simplified Arabic"/>
                <w:b/>
                <w:bCs/>
                <w:rtl/>
                <w:lang w:val="x-none"/>
              </w:rPr>
              <w:t>[ الوجيز في شرح القانون المدني - الجزء الأول - نظرية الالتزام بوجه عام - الدكتور / عبد الرزاق أحمد السنهورى - 1997 - ص 41 ]</w:t>
            </w:r>
          </w:p>
          <w:p w:rsidR="00F34C23" w:rsidRPr="0030727F" w:rsidRDefault="00F34C23" w:rsidP="0030727F">
            <w:pPr>
              <w:rPr>
                <w:rFonts w:ascii="Simplified Arabic" w:hAnsi="Simplified Arabic" w:cs="Simplified Arabic"/>
                <w:b/>
                <w:bCs/>
                <w:color w:val="FF0000"/>
                <w:rtl/>
              </w:rPr>
            </w:pPr>
            <w:r w:rsidRPr="0030727F">
              <w:rPr>
                <w:rFonts w:ascii="Simplified Arabic" w:hAnsi="Simplified Arabic" w:cs="Simplified Arabic"/>
                <w:b/>
                <w:bCs/>
                <w:color w:val="FF0000"/>
                <w:rtl/>
              </w:rPr>
              <w:t xml:space="preserve">وحيث أنه هدياً بما تقدم من أسانيد قانونية </w:t>
            </w:r>
          </w:p>
          <w:p w:rsidR="0016755C" w:rsidRPr="0030727F" w:rsidRDefault="006403A6" w:rsidP="0030727F">
            <w:pPr>
              <w:rPr>
                <w:rFonts w:ascii="Simplified Arabic" w:hAnsi="Simplified Arabic" w:cs="Simplified Arabic"/>
                <w:b/>
                <w:bCs/>
                <w:color w:val="C00000"/>
                <w:sz w:val="32"/>
                <w:szCs w:val="32"/>
                <w:rtl/>
              </w:rPr>
            </w:pPr>
            <w:r w:rsidRPr="0030727F">
              <w:rPr>
                <w:rFonts w:ascii="Simplified Arabic" w:hAnsi="Simplified Arabic" w:cs="Simplified Arabic"/>
                <w:b/>
                <w:bCs/>
                <w:color w:val="C00000"/>
                <w:sz w:val="32"/>
                <w:szCs w:val="32"/>
                <w:rtl/>
              </w:rPr>
              <w:t>بنـــــــــــاء عليه</w:t>
            </w:r>
          </w:p>
          <w:p w:rsidR="0016755C"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أنا المحضر سالف الذكر قد أعلنت وسلمت المعلن إليه صوره من هذه الصحيفة </w:t>
            </w:r>
            <w:r w:rsidR="002514CB" w:rsidRPr="0030727F">
              <w:rPr>
                <w:rFonts w:ascii="Simplified Arabic" w:hAnsi="Simplified Arabic" w:cs="Simplified Arabic"/>
                <w:b/>
                <w:bCs/>
                <w:rtl/>
              </w:rPr>
              <w:t>وكلفته</w:t>
            </w:r>
            <w:r w:rsidRPr="0030727F">
              <w:rPr>
                <w:rFonts w:ascii="Simplified Arabic" w:hAnsi="Simplified Arabic" w:cs="Simplified Arabic"/>
                <w:b/>
                <w:bCs/>
                <w:rtl/>
              </w:rPr>
              <w:t xml:space="preserve"> بالحضور أمام </w:t>
            </w:r>
            <w:r w:rsidRPr="0030727F">
              <w:rPr>
                <w:rFonts w:ascii="Simplified Arabic" w:hAnsi="Simplified Arabic" w:cs="Simplified Arabic"/>
                <w:b/>
                <w:bCs/>
                <w:color w:val="0070C0"/>
                <w:rtl/>
              </w:rPr>
              <w:t xml:space="preserve">محكمة </w:t>
            </w:r>
            <w:r w:rsidRPr="0030727F">
              <w:rPr>
                <w:rFonts w:ascii="Simplified Arabic" w:hAnsi="Simplified Arabic" w:cs="Simplified Arabic"/>
                <w:b/>
                <w:bCs/>
                <w:rtl/>
              </w:rPr>
              <w:t xml:space="preserve">، </w:t>
            </w:r>
            <w:r w:rsidR="0063103B" w:rsidRPr="0030727F">
              <w:rPr>
                <w:rFonts w:ascii="Simplified Arabic" w:hAnsi="Simplified Arabic" w:cs="Simplified Arabic"/>
                <w:b/>
                <w:bCs/>
                <w:rtl/>
              </w:rPr>
              <w:t>و</w:t>
            </w:r>
            <w:r w:rsidRPr="0030727F">
              <w:rPr>
                <w:rFonts w:ascii="Simplified Arabic" w:hAnsi="Simplified Arabic" w:cs="Simplified Arabic"/>
                <w:b/>
                <w:bCs/>
                <w:rtl/>
              </w:rPr>
              <w:t>ذلك بجلستها التي ستنعقد علنا في يوم ..............</w:t>
            </w:r>
            <w:r w:rsidRPr="0030727F">
              <w:rPr>
                <w:rFonts w:ascii="Simplified Arabic" w:hAnsi="Simplified Arabic" w:cs="Simplified Arabic"/>
                <w:b/>
                <w:bCs/>
                <w:color w:val="0070C0"/>
                <w:rtl/>
              </w:rPr>
              <w:t xml:space="preserve">الموافق </w:t>
            </w:r>
            <w:r w:rsidR="005C2EDA" w:rsidRPr="0030727F">
              <w:rPr>
                <w:rFonts w:ascii="Simplified Arabic" w:hAnsi="Simplified Arabic" w:cs="Simplified Arabic"/>
                <w:b/>
                <w:bCs/>
                <w:rtl/>
              </w:rPr>
              <w:t xml:space="preserve"> </w:t>
            </w:r>
            <w:r w:rsidRPr="0030727F">
              <w:rPr>
                <w:rFonts w:ascii="Simplified Arabic" w:hAnsi="Simplified Arabic" w:cs="Simplified Arabic"/>
                <w:b/>
                <w:bCs/>
                <w:rtl/>
              </w:rPr>
              <w:t>من الساعة التاسعة صباحا وما بعدها ل</w:t>
            </w:r>
            <w:r w:rsidR="000746B6" w:rsidRPr="0030727F">
              <w:rPr>
                <w:rFonts w:ascii="Simplified Arabic" w:hAnsi="Simplified Arabic" w:cs="Simplified Arabic"/>
                <w:b/>
                <w:bCs/>
                <w:rtl/>
              </w:rPr>
              <w:t>ي</w:t>
            </w:r>
            <w:r w:rsidRPr="0030727F">
              <w:rPr>
                <w:rFonts w:ascii="Simplified Arabic" w:hAnsi="Simplified Arabic" w:cs="Simplified Arabic"/>
                <w:b/>
                <w:bCs/>
                <w:rtl/>
              </w:rPr>
              <w:t xml:space="preserve">سمع المعلن </w:t>
            </w:r>
            <w:r w:rsidR="000746B6" w:rsidRPr="0030727F">
              <w:rPr>
                <w:rFonts w:ascii="Simplified Arabic" w:hAnsi="Simplified Arabic" w:cs="Simplified Arabic"/>
                <w:b/>
                <w:bCs/>
                <w:rtl/>
              </w:rPr>
              <w:t>إليه</w:t>
            </w:r>
            <w:r w:rsidRPr="0030727F">
              <w:rPr>
                <w:rFonts w:ascii="Simplified Arabic" w:hAnsi="Simplified Arabic" w:cs="Simplified Arabic"/>
                <w:b/>
                <w:bCs/>
                <w:rtl/>
              </w:rPr>
              <w:t xml:space="preserve"> الحكم ب</w:t>
            </w:r>
            <w:r w:rsidR="0016755C" w:rsidRPr="0030727F">
              <w:rPr>
                <w:rFonts w:ascii="Simplified Arabic" w:hAnsi="Simplified Arabic" w:cs="Simplified Arabic"/>
                <w:b/>
                <w:bCs/>
                <w:rtl/>
              </w:rPr>
              <w:t>ـ:</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534021" w:rsidRPr="0030727F" w:rsidTr="00534021">
              <w:tc>
                <w:tcPr>
                  <w:tcW w:w="7830" w:type="dxa"/>
                  <w:tcBorders>
                    <w:top w:val="nil"/>
                    <w:left w:val="nil"/>
                    <w:bottom w:val="nil"/>
                    <w:right w:val="nil"/>
                  </w:tcBorders>
                </w:tcPr>
                <w:p w:rsidR="00534021" w:rsidRPr="0030727F" w:rsidRDefault="007732A5" w:rsidP="0030727F">
                  <w:pPr>
                    <w:ind w:left="33" w:firstLine="0"/>
                    <w:rPr>
                      <w:rFonts w:ascii="Simplified Arabic" w:hAnsi="Simplified Arabic" w:cs="Simplified Arabic"/>
                      <w:b/>
                      <w:bCs/>
                      <w:rtl/>
                    </w:rPr>
                  </w:pPr>
                  <w:r w:rsidRPr="0030727F">
                    <w:rPr>
                      <w:rFonts w:ascii="Simplified Arabic" w:hAnsi="Simplified Arabic" w:cs="Simplified Arabic"/>
                      <w:b/>
                      <w:bCs/>
                      <w:rtl/>
                    </w:rPr>
                    <w:t xml:space="preserve"> </w:t>
                  </w:r>
                  <w:r w:rsidRPr="0030727F">
                    <w:rPr>
                      <w:rFonts w:ascii="Simplified Arabic" w:hAnsi="Simplified Arabic" w:cs="Simplified Arabic"/>
                      <w:b/>
                      <w:bCs/>
                      <w:rtl/>
                      <w:lang w:val="x-none"/>
                    </w:rPr>
                    <w:t>فسخ عقد البيع - للإخلال والتقاعس عن تنفيذ الالتزامات التعاقدية</w:t>
                  </w:r>
                </w:p>
              </w:tc>
            </w:tr>
          </w:tbl>
          <w:p w:rsidR="008E5429" w:rsidRPr="0030727F" w:rsidRDefault="008E5429" w:rsidP="0030727F">
            <w:pPr>
              <w:ind w:firstLine="0"/>
              <w:rPr>
                <w:rFonts w:ascii="Simplified Arabic" w:hAnsi="Simplified Arabic" w:cs="Simplified Arabic"/>
                <w:b/>
                <w:bCs/>
                <w:rtl/>
              </w:rPr>
            </w:pPr>
            <w:r w:rsidRPr="0030727F">
              <w:rPr>
                <w:rFonts w:ascii="Simplified Arabic" w:hAnsi="Simplified Arabic" w:cs="Simplified Arabic"/>
                <w:b/>
                <w:bCs/>
                <w:rtl/>
              </w:rPr>
              <w:lastRenderedPageBreak/>
              <w:t>مع المصاريف ومقابل اتعاب المحاماة وشمول الحكم بالنفاذ المعجل بلا كفالة .</w:t>
            </w:r>
          </w:p>
          <w:p w:rsidR="006403A6" w:rsidRPr="0030727F" w:rsidRDefault="006403A6" w:rsidP="0030727F">
            <w:pPr>
              <w:rPr>
                <w:rFonts w:ascii="Simplified Arabic" w:hAnsi="Simplified Arabic" w:cs="Simplified Arabic"/>
                <w:b/>
                <w:bCs/>
                <w:sz w:val="32"/>
                <w:szCs w:val="32"/>
                <w:rtl/>
              </w:rPr>
            </w:pPr>
            <w:r w:rsidRPr="0030727F">
              <w:rPr>
                <w:rFonts w:ascii="Simplified Arabic" w:hAnsi="Simplified Arabic" w:cs="Simplified Arabic"/>
                <w:b/>
                <w:bCs/>
                <w:rtl/>
              </w:rPr>
              <w:t xml:space="preserve">مع حفظ كافة الحقوق الأخرى </w:t>
            </w:r>
            <w:r w:rsidR="008E5429" w:rsidRPr="0030727F">
              <w:rPr>
                <w:rFonts w:ascii="Simplified Arabic" w:hAnsi="Simplified Arabic" w:cs="Simplified Arabic"/>
                <w:b/>
                <w:bCs/>
                <w:rtl/>
              </w:rPr>
              <w:t xml:space="preserve">، </w:t>
            </w:r>
            <w:r w:rsidRPr="0030727F">
              <w:rPr>
                <w:rFonts w:ascii="Simplified Arabic" w:hAnsi="Simplified Arabic" w:cs="Simplified Arabic"/>
                <w:b/>
                <w:bCs/>
                <w:rtl/>
              </w:rPr>
              <w:t>ولآجل</w:t>
            </w:r>
            <w:r w:rsidR="00601D77" w:rsidRPr="0030727F">
              <w:rPr>
                <w:rFonts w:ascii="Simplified Arabic" w:hAnsi="Simplified Arabic" w:cs="Simplified Arabic"/>
                <w:b/>
                <w:bCs/>
                <w:rtl/>
              </w:rPr>
              <w:t xml:space="preserve"> العلم،،،</w:t>
            </w:r>
          </w:p>
        </w:tc>
        <w:tc>
          <w:tcPr>
            <w:tcW w:w="1809" w:type="dxa"/>
            <w:tcBorders>
              <w:left w:val="single" w:sz="4" w:space="0" w:color="auto"/>
            </w:tcBorders>
          </w:tcPr>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lastRenderedPageBreak/>
              <w:t>الموضوع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tblGrid>
            <w:tr w:rsidR="008A0236" w:rsidRPr="00DF3E85" w:rsidTr="0032168F">
              <w:tc>
                <w:tcPr>
                  <w:tcW w:w="7830" w:type="dxa"/>
                  <w:tcBorders>
                    <w:top w:val="nil"/>
                    <w:left w:val="nil"/>
                    <w:bottom w:val="nil"/>
                    <w:right w:val="nil"/>
                  </w:tcBorders>
                </w:tcPr>
                <w:p w:rsidR="008A0236" w:rsidRPr="00DF3E85" w:rsidRDefault="008A0236" w:rsidP="0030727F">
                  <w:pPr>
                    <w:ind w:firstLine="0"/>
                    <w:rPr>
                      <w:rFonts w:ascii="Simplified Arabic" w:hAnsi="Simplified Arabic" w:cs="Simplified Arabic"/>
                      <w:b/>
                      <w:bCs/>
                      <w:rtl/>
                    </w:rPr>
                  </w:pPr>
                  <w:r w:rsidRPr="00DF3E85">
                    <w:rPr>
                      <w:rFonts w:ascii="Simplified Arabic" w:hAnsi="Simplified Arabic" w:cs="Simplified Arabic"/>
                      <w:b/>
                      <w:bCs/>
                      <w:rtl/>
                      <w:lang w:val="x-none"/>
                    </w:rPr>
                    <w:t>فسخ عقد البيع - للإخلال والتقاعس عن تنفيذ الالتزامات التعاقدية</w:t>
                  </w:r>
                  <w:r w:rsidR="00207117" w:rsidRPr="00DF3E85">
                    <w:rPr>
                      <w:rFonts w:ascii="Simplified Arabic" w:hAnsi="Simplified Arabic" w:cs="Simplified Arabic"/>
                      <w:b/>
                      <w:bCs/>
                      <w:rtl/>
                    </w:rPr>
                    <w:t xml:space="preserve"> </w:t>
                  </w:r>
                </w:p>
              </w:tc>
            </w:tr>
          </w:tbl>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t>بناء على طلب الطالب ومسئوليته</w:t>
            </w:r>
          </w:p>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t>وكيل الطالب</w:t>
            </w:r>
          </w:p>
          <w:p w:rsidR="006403A6" w:rsidRPr="0030727F" w:rsidRDefault="006403A6" w:rsidP="0030727F">
            <w:pPr>
              <w:ind w:firstLine="0"/>
              <w:rPr>
                <w:rFonts w:ascii="Simplified Arabic" w:hAnsi="Simplified Arabic" w:cs="Simplified Arabic"/>
                <w:b/>
                <w:bCs/>
                <w:sz w:val="32"/>
                <w:szCs w:val="32"/>
                <w:rtl/>
              </w:rPr>
            </w:pPr>
          </w:p>
          <w:p w:rsidR="00AC73B3" w:rsidRPr="0030727F" w:rsidRDefault="00AC73B3" w:rsidP="0030727F">
            <w:pPr>
              <w:ind w:firstLine="0"/>
              <w:rPr>
                <w:rFonts w:ascii="Simplified Arabic" w:hAnsi="Simplified Arabic" w:cs="Simplified Arabic"/>
                <w:b/>
                <w:bCs/>
                <w:sz w:val="32"/>
                <w:szCs w:val="32"/>
                <w:rtl/>
              </w:rPr>
            </w:pPr>
          </w:p>
        </w:tc>
      </w:tr>
    </w:tbl>
    <w:p w:rsidR="00384774" w:rsidRPr="0030727F" w:rsidRDefault="00384774" w:rsidP="0030727F">
      <w:pPr>
        <w:rPr>
          <w:rFonts w:ascii="Simplified Arabic" w:hAnsi="Simplified Arabic" w:cs="Simplified Arabic"/>
          <w:b/>
          <w:bCs/>
          <w:sz w:val="32"/>
          <w:szCs w:val="32"/>
          <w:rtl/>
        </w:rPr>
      </w:pPr>
    </w:p>
    <w:sectPr w:rsidR="00384774" w:rsidRPr="0030727F" w:rsidSect="0030727F">
      <w:headerReference w:type="default" r:id="rId6"/>
      <w:pgSz w:w="11907" w:h="16840" w:code="9"/>
      <w:pgMar w:top="1134" w:right="1134" w:bottom="1134" w:left="70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C19" w:rsidRDefault="00F71C19" w:rsidP="00601D77">
      <w:r>
        <w:separator/>
      </w:r>
    </w:p>
  </w:endnote>
  <w:endnote w:type="continuationSeparator" w:id="0">
    <w:p w:rsidR="00F71C19" w:rsidRDefault="00F71C19" w:rsidP="0060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embedRegular r:id="rId1" w:fontKey="{9EC19D4A-3804-4726-B574-E803B36D2E3C}"/>
  </w:font>
  <w:font w:name="Times New Roman">
    <w:panose1 w:val="02020603050405020304"/>
    <w:charset w:val="00"/>
    <w:family w:val="roman"/>
    <w:pitch w:val="variable"/>
    <w:sig w:usb0="E0002AFF" w:usb1="C0007841" w:usb2="00000009" w:usb3="00000000" w:csb0="000001FF" w:csb1="00000000"/>
  </w:font>
  <w:font w:name="Adobe ??? Medium">
    <w:altName w:val="Arial"/>
    <w:panose1 w:val="00000000000000000000"/>
    <w:charset w:val="B2"/>
    <w:family w:val="modern"/>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embedBold r:id="rId2" w:fontKey="{CDD65917-79D5-437F-A93F-A59365941ABC}"/>
  </w:font>
  <w:font w:name="Calibri Light">
    <w:panose1 w:val="020F0302020204030204"/>
    <w:charset w:val="00"/>
    <w:family w:val="swiss"/>
    <w:pitch w:val="variable"/>
    <w:sig w:usb0="A00002EF" w:usb1="4000207B" w:usb2="00000000" w:usb3="00000000" w:csb0="0000019F" w:csb1="00000000"/>
    <w:embedRegular r:id="rId3" w:fontKey="{4FD790A9-B258-49E8-B24F-DF35977626A5}"/>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C19" w:rsidRDefault="00F71C19" w:rsidP="00601D77">
      <w:r>
        <w:separator/>
      </w:r>
    </w:p>
  </w:footnote>
  <w:footnote w:type="continuationSeparator" w:id="0">
    <w:p w:rsidR="00F71C19" w:rsidRDefault="00F71C19" w:rsidP="0060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77" w:rsidRDefault="00601D77" w:rsidP="00601D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21"/>
    <w:rsid w:val="00005C27"/>
    <w:rsid w:val="00066831"/>
    <w:rsid w:val="000746B6"/>
    <w:rsid w:val="000931A5"/>
    <w:rsid w:val="000B5A09"/>
    <w:rsid w:val="00126929"/>
    <w:rsid w:val="0013014A"/>
    <w:rsid w:val="00161704"/>
    <w:rsid w:val="0016755C"/>
    <w:rsid w:val="001A1E35"/>
    <w:rsid w:val="001C401D"/>
    <w:rsid w:val="001C45EF"/>
    <w:rsid w:val="001D66D6"/>
    <w:rsid w:val="001E53EC"/>
    <w:rsid w:val="001F1C19"/>
    <w:rsid w:val="00207117"/>
    <w:rsid w:val="002204BB"/>
    <w:rsid w:val="00245B66"/>
    <w:rsid w:val="00247E65"/>
    <w:rsid w:val="002514CB"/>
    <w:rsid w:val="00275C88"/>
    <w:rsid w:val="002D2097"/>
    <w:rsid w:val="002E49AB"/>
    <w:rsid w:val="0030727F"/>
    <w:rsid w:val="0032168F"/>
    <w:rsid w:val="00342E10"/>
    <w:rsid w:val="00350BDA"/>
    <w:rsid w:val="00372284"/>
    <w:rsid w:val="00384774"/>
    <w:rsid w:val="00386157"/>
    <w:rsid w:val="00412ADE"/>
    <w:rsid w:val="0042179C"/>
    <w:rsid w:val="00437E1E"/>
    <w:rsid w:val="004A76AF"/>
    <w:rsid w:val="004F0497"/>
    <w:rsid w:val="0051026F"/>
    <w:rsid w:val="00525626"/>
    <w:rsid w:val="00534021"/>
    <w:rsid w:val="005A5CC5"/>
    <w:rsid w:val="005C2EDA"/>
    <w:rsid w:val="00601D77"/>
    <w:rsid w:val="0063103B"/>
    <w:rsid w:val="006403A6"/>
    <w:rsid w:val="007641CE"/>
    <w:rsid w:val="007732A5"/>
    <w:rsid w:val="007A6D78"/>
    <w:rsid w:val="007E2DFD"/>
    <w:rsid w:val="0083104E"/>
    <w:rsid w:val="00837005"/>
    <w:rsid w:val="00845CFE"/>
    <w:rsid w:val="00880543"/>
    <w:rsid w:val="00894A92"/>
    <w:rsid w:val="00895DAB"/>
    <w:rsid w:val="008A0236"/>
    <w:rsid w:val="008B1AF3"/>
    <w:rsid w:val="008E5429"/>
    <w:rsid w:val="0094438E"/>
    <w:rsid w:val="009449F0"/>
    <w:rsid w:val="009658D6"/>
    <w:rsid w:val="00974037"/>
    <w:rsid w:val="009A068C"/>
    <w:rsid w:val="009B3C70"/>
    <w:rsid w:val="009F4825"/>
    <w:rsid w:val="00A2556A"/>
    <w:rsid w:val="00A4405C"/>
    <w:rsid w:val="00A45B21"/>
    <w:rsid w:val="00A81BF3"/>
    <w:rsid w:val="00A939FA"/>
    <w:rsid w:val="00AC73B3"/>
    <w:rsid w:val="00B437EF"/>
    <w:rsid w:val="00BE5A82"/>
    <w:rsid w:val="00BF3758"/>
    <w:rsid w:val="00C002DC"/>
    <w:rsid w:val="00C34070"/>
    <w:rsid w:val="00C8502E"/>
    <w:rsid w:val="00DA1763"/>
    <w:rsid w:val="00DB6093"/>
    <w:rsid w:val="00DC15F7"/>
    <w:rsid w:val="00DD55E5"/>
    <w:rsid w:val="00DE0B19"/>
    <w:rsid w:val="00DE7410"/>
    <w:rsid w:val="00DF3E85"/>
    <w:rsid w:val="00E32D79"/>
    <w:rsid w:val="00E92109"/>
    <w:rsid w:val="00EA0C14"/>
    <w:rsid w:val="00F34C23"/>
    <w:rsid w:val="00F71C19"/>
    <w:rsid w:val="00FB088A"/>
    <w:rsid w:val="00FC0848"/>
    <w:rsid w:val="00FE7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1AC3FA-51CB-49E3-BFC2-245469E9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63"/>
    <w:pPr>
      <w:bidi/>
    </w:pPr>
    <w:rPr>
      <w:rFonts w:ascii="Adobe ??? Medium" w:hAnsi="Adobe ??? Medium" w:cs="Adobe ??? Medium"/>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03A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1D77"/>
    <w:pPr>
      <w:tabs>
        <w:tab w:val="center" w:pos="4320"/>
        <w:tab w:val="right" w:pos="8640"/>
      </w:tabs>
    </w:pPr>
  </w:style>
  <w:style w:type="character" w:customStyle="1" w:styleId="HeaderChar">
    <w:name w:val="Header Char"/>
    <w:basedOn w:val="DefaultParagraphFont"/>
    <w:link w:val="Header"/>
    <w:uiPriority w:val="99"/>
    <w:locked/>
    <w:rsid w:val="00601D77"/>
    <w:rPr>
      <w:rFonts w:ascii="Adobe ??? Medium" w:hAnsi="Adobe ??? Medium" w:cs="Adobe ??? Medium"/>
      <w:sz w:val="28"/>
      <w:szCs w:val="28"/>
      <w:lang w:bidi="ar-EG"/>
    </w:rPr>
  </w:style>
  <w:style w:type="paragraph" w:styleId="Footer">
    <w:name w:val="footer"/>
    <w:basedOn w:val="Normal"/>
    <w:link w:val="FooterChar"/>
    <w:uiPriority w:val="99"/>
    <w:unhideWhenUsed/>
    <w:rsid w:val="00601D77"/>
    <w:pPr>
      <w:tabs>
        <w:tab w:val="center" w:pos="4320"/>
        <w:tab w:val="right" w:pos="8640"/>
      </w:tabs>
    </w:pPr>
  </w:style>
  <w:style w:type="character" w:customStyle="1" w:styleId="FooterChar">
    <w:name w:val="Footer Char"/>
    <w:basedOn w:val="DefaultParagraphFont"/>
    <w:link w:val="Footer"/>
    <w:uiPriority w:val="99"/>
    <w:locked/>
    <w:rsid w:val="00601D77"/>
    <w:rPr>
      <w:rFonts w:ascii="Adobe ??? Medium" w:hAnsi="Adobe ??? Medium" w:cs="Adobe ??? Medium"/>
      <w:sz w:val="28"/>
      <w:szCs w:val="2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file was created with evaluation version of EK RTF report components for Delphi</dc:creator>
  <cp:keywords/>
  <dc:description>EK RTF report components for Delphi_x000d_
http://ekrtf.code.net.ru</dc:description>
  <cp:lastModifiedBy>165</cp:lastModifiedBy>
  <cp:revision>2</cp:revision>
  <dcterms:created xsi:type="dcterms:W3CDTF">2020-08-27T14:15:00Z</dcterms:created>
  <dcterms:modified xsi:type="dcterms:W3CDTF">2020-08-27T14:15:00Z</dcterms:modified>
</cp:coreProperties>
</file>